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48" w:rsidRDefault="00463448" w:rsidP="00463448">
      <w:pPr>
        <w:rPr>
          <w:rFonts w:ascii="等线" w:eastAsia="等线" w:hAnsi="等线" w:hint="eastAsia"/>
          <w:b/>
          <w:sz w:val="28"/>
          <w:szCs w:val="28"/>
        </w:rPr>
      </w:pPr>
      <w:r w:rsidRPr="00F267D3">
        <w:rPr>
          <w:rFonts w:ascii="等线" w:eastAsia="等线" w:hAnsi="等线" w:hint="eastAsia"/>
          <w:b/>
          <w:sz w:val="28"/>
          <w:szCs w:val="28"/>
        </w:rPr>
        <w:t>LUM稳定性分析仪</w:t>
      </w:r>
    </w:p>
    <w:p w:rsidR="00463448" w:rsidRDefault="00463448" w:rsidP="00463448">
      <w:pPr>
        <w:jc w:val="center"/>
        <w:rPr>
          <w:rFonts w:hint="eastAsia"/>
        </w:rPr>
      </w:pPr>
      <w:r>
        <w:rPr>
          <w:noProof/>
        </w:rPr>
        <w:drawing>
          <wp:inline distT="0" distB="0" distL="0" distR="0">
            <wp:extent cx="3977005" cy="2415540"/>
            <wp:effectExtent l="19050" t="0" r="444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srcRect t="5540" b="16356"/>
                    <a:stretch>
                      <a:fillRect/>
                    </a:stretch>
                  </pic:blipFill>
                  <pic:spPr bwMode="auto">
                    <a:xfrm>
                      <a:off x="0" y="0"/>
                      <a:ext cx="3977005" cy="2415540"/>
                    </a:xfrm>
                    <a:prstGeom prst="rect">
                      <a:avLst/>
                    </a:prstGeom>
                    <a:noFill/>
                    <a:ln w="9525">
                      <a:noFill/>
                      <a:miter lim="800000"/>
                      <a:headEnd/>
                      <a:tailEnd/>
                    </a:ln>
                  </pic:spPr>
                </pic:pic>
              </a:graphicData>
            </a:graphic>
          </wp:inline>
        </w:drawing>
      </w:r>
    </w:p>
    <w:p w:rsidR="00463448" w:rsidRPr="00CC5AA2" w:rsidRDefault="00463448" w:rsidP="00463448">
      <w:pPr>
        <w:rPr>
          <w:rFonts w:ascii="等线" w:eastAsia="等线" w:hAnsi="等线"/>
          <w:b/>
          <w:sz w:val="28"/>
          <w:szCs w:val="28"/>
        </w:rPr>
      </w:pPr>
      <w:r w:rsidRPr="00CC5AA2">
        <w:rPr>
          <w:rFonts w:ascii="等线" w:eastAsia="等线" w:hAnsi="等线" w:hint="eastAsia"/>
          <w:b/>
          <w:sz w:val="28"/>
          <w:szCs w:val="28"/>
        </w:rPr>
        <w:t>主要功能及用途：</w:t>
      </w:r>
    </w:p>
    <w:p w:rsidR="00463448" w:rsidRPr="00F267D3" w:rsidRDefault="00463448" w:rsidP="00463448">
      <w:pPr>
        <w:pStyle w:val="a3"/>
        <w:shd w:val="clear" w:color="auto" w:fill="FFFFFF"/>
        <w:spacing w:before="0" w:beforeAutospacing="0" w:after="0" w:afterAutospacing="0"/>
        <w:rPr>
          <w:rFonts w:ascii="Arial" w:hAnsi="Arial" w:cs="Arial"/>
          <w:color w:val="000000"/>
          <w:sz w:val="21"/>
          <w:szCs w:val="21"/>
        </w:rPr>
      </w:pPr>
      <w:r w:rsidRPr="000F1292">
        <w:rPr>
          <w:rFonts w:hint="eastAsia"/>
          <w:sz w:val="21"/>
          <w:szCs w:val="21"/>
        </w:rPr>
        <w:t>利用粒子移动受重力或离心力所驱动以及光学近红外检测的理论基础</w:t>
      </w:r>
      <w:r>
        <w:rPr>
          <w:rFonts w:hint="eastAsia"/>
          <w:sz w:val="21"/>
          <w:szCs w:val="21"/>
        </w:rPr>
        <w:t>，测量</w:t>
      </w:r>
      <w:r w:rsidRPr="000F1292">
        <w:rPr>
          <w:sz w:val="21"/>
          <w:szCs w:val="21"/>
        </w:rPr>
        <w:t>胶体分散体系稳定性</w:t>
      </w:r>
      <w:r>
        <w:rPr>
          <w:sz w:val="21"/>
          <w:szCs w:val="21"/>
        </w:rPr>
        <w:t>。</w:t>
      </w:r>
    </w:p>
    <w:p w:rsidR="00463448" w:rsidRPr="00CC5AA2" w:rsidRDefault="00463448" w:rsidP="00463448">
      <w:pPr>
        <w:rPr>
          <w:rFonts w:ascii="等线" w:eastAsia="等线" w:hAnsi="等线"/>
          <w:b/>
          <w:sz w:val="28"/>
          <w:szCs w:val="28"/>
        </w:rPr>
      </w:pPr>
      <w:r w:rsidRPr="00CC5AA2">
        <w:rPr>
          <w:rFonts w:ascii="等线" w:eastAsia="等线" w:hAnsi="等线" w:hint="eastAsia"/>
          <w:b/>
          <w:sz w:val="28"/>
          <w:szCs w:val="28"/>
        </w:rPr>
        <w:t>主要技术指标：</w:t>
      </w:r>
    </w:p>
    <w:p w:rsidR="00463448" w:rsidRPr="0003178C" w:rsidRDefault="00463448" w:rsidP="00463448">
      <w:r w:rsidRPr="0003178C">
        <w:t>样品数量</w:t>
      </w:r>
      <w:r>
        <w:t>：</w:t>
      </w:r>
      <w:r w:rsidRPr="0003178C">
        <w:t>12</w:t>
      </w:r>
      <w:r w:rsidRPr="0003178C">
        <w:t>个样品同时量测</w:t>
      </w:r>
      <w:r w:rsidRPr="0003178C">
        <w:t>.</w:t>
      </w:r>
    </w:p>
    <w:p w:rsidR="00463448" w:rsidRPr="0003178C" w:rsidRDefault="00463448" w:rsidP="00463448">
      <w:r w:rsidRPr="0003178C">
        <w:t>离心速度：</w:t>
      </w:r>
      <w:r w:rsidRPr="0003178C">
        <w:t>200</w:t>
      </w:r>
      <w:r w:rsidRPr="0003178C">
        <w:rPr>
          <w:rFonts w:ascii="MS Mincho" w:eastAsia="MS Mincho" w:hAnsi="MS Mincho" w:cs="MS Mincho" w:hint="eastAsia"/>
        </w:rPr>
        <w:t>〜</w:t>
      </w:r>
      <w:r w:rsidRPr="0003178C">
        <w:t>4000rmp</w:t>
      </w:r>
    </w:p>
    <w:p w:rsidR="00463448" w:rsidRPr="0003178C" w:rsidRDefault="00463448" w:rsidP="00463448">
      <w:r w:rsidRPr="0003178C">
        <w:t>温度范围：</w:t>
      </w:r>
      <w:r w:rsidRPr="0003178C">
        <w:t xml:space="preserve">4℃ </w:t>
      </w:r>
      <w:r w:rsidRPr="0003178C">
        <w:rPr>
          <w:rFonts w:ascii="MS Mincho" w:eastAsia="MS Mincho" w:hAnsi="MS Mincho" w:cs="MS Mincho" w:hint="eastAsia"/>
        </w:rPr>
        <w:t>〜</w:t>
      </w:r>
      <w:r w:rsidRPr="0003178C">
        <w:t xml:space="preserve"> 60℃</w:t>
      </w:r>
      <w:r w:rsidRPr="0003178C">
        <w:t>；</w:t>
      </w:r>
    </w:p>
    <w:p w:rsidR="00463448" w:rsidRPr="0003178C" w:rsidRDefault="00463448" w:rsidP="00463448">
      <w:r w:rsidRPr="0003178C">
        <w:t>样品体积：</w:t>
      </w:r>
      <w:r w:rsidRPr="0003178C">
        <w:t xml:space="preserve">0.1 ml </w:t>
      </w:r>
      <w:r w:rsidRPr="0003178C">
        <w:rPr>
          <w:rFonts w:ascii="MS Mincho" w:eastAsia="MS Mincho" w:hAnsi="MS Mincho" w:cs="MS Mincho" w:hint="eastAsia"/>
        </w:rPr>
        <w:t>〜</w:t>
      </w:r>
      <w:r w:rsidRPr="0003178C">
        <w:t xml:space="preserve"> 2 ml</w:t>
      </w:r>
    </w:p>
    <w:p w:rsidR="00463448" w:rsidRPr="0003178C" w:rsidRDefault="00463448" w:rsidP="00463448">
      <w:r w:rsidRPr="0003178C">
        <w:t>液体浓度：</w:t>
      </w:r>
      <w:r w:rsidRPr="0003178C">
        <w:t xml:space="preserve">1 </w:t>
      </w:r>
      <w:proofErr w:type="spellStart"/>
      <w:r w:rsidRPr="0003178C">
        <w:t>Vol</w:t>
      </w:r>
      <w:proofErr w:type="spellEnd"/>
      <w:r w:rsidRPr="0003178C">
        <w:t xml:space="preserve">% </w:t>
      </w:r>
      <w:r w:rsidRPr="0003178C">
        <w:rPr>
          <w:rFonts w:ascii="MS Mincho" w:eastAsia="MS Mincho" w:hAnsi="MS Mincho" w:cs="MS Mincho" w:hint="eastAsia"/>
        </w:rPr>
        <w:t>〜</w:t>
      </w:r>
      <w:r w:rsidRPr="0003178C">
        <w:t xml:space="preserve"> 90 </w:t>
      </w:r>
      <w:proofErr w:type="spellStart"/>
      <w:r w:rsidRPr="0003178C">
        <w:t>Vol</w:t>
      </w:r>
      <w:proofErr w:type="spellEnd"/>
      <w:r w:rsidRPr="0003178C">
        <w:t>% </w:t>
      </w:r>
    </w:p>
    <w:p w:rsidR="00463448" w:rsidRPr="0003178C" w:rsidRDefault="00463448" w:rsidP="00463448">
      <w:r w:rsidRPr="0003178C">
        <w:t>液体粘度</w:t>
      </w:r>
      <w:r>
        <w:t>：</w:t>
      </w:r>
      <w:r w:rsidRPr="0003178C">
        <w:t xml:space="preserve">0.8 </w:t>
      </w:r>
      <w:r w:rsidRPr="0003178C">
        <w:rPr>
          <w:rFonts w:ascii="MS Mincho" w:eastAsia="MS Mincho" w:hAnsi="MS Mincho" w:cs="MS Mincho" w:hint="eastAsia"/>
        </w:rPr>
        <w:t>〜</w:t>
      </w:r>
      <w:r w:rsidRPr="0003178C">
        <w:t xml:space="preserve"> 108 </w:t>
      </w:r>
      <w:proofErr w:type="spellStart"/>
      <w:r w:rsidRPr="0003178C">
        <w:t>mPas</w:t>
      </w:r>
      <w:proofErr w:type="spellEnd"/>
    </w:p>
    <w:p w:rsidR="00463448" w:rsidRPr="00CC5AA2" w:rsidRDefault="00463448" w:rsidP="00463448">
      <w:pPr>
        <w:rPr>
          <w:rFonts w:ascii="等线" w:eastAsia="等线" w:hAnsi="等线"/>
          <w:b/>
          <w:sz w:val="28"/>
          <w:szCs w:val="28"/>
        </w:rPr>
      </w:pPr>
      <w:r w:rsidRPr="00CC5AA2">
        <w:rPr>
          <w:rFonts w:ascii="等线" w:eastAsia="等线" w:hAnsi="等线" w:hint="eastAsia"/>
          <w:b/>
          <w:sz w:val="28"/>
          <w:szCs w:val="28"/>
        </w:rPr>
        <w:t>主要特点：</w:t>
      </w:r>
    </w:p>
    <w:p w:rsidR="00463448" w:rsidRDefault="00463448" w:rsidP="00463448">
      <w:pPr>
        <w:numPr>
          <w:ilvl w:val="0"/>
          <w:numId w:val="1"/>
        </w:numPr>
        <w:ind w:left="0" w:firstLine="0"/>
        <w:rPr>
          <w:rFonts w:ascii="Arial" w:hAnsi="Arial" w:cs="Arial" w:hint="eastAsia"/>
          <w:color w:val="000000"/>
          <w:szCs w:val="21"/>
          <w:shd w:val="clear" w:color="auto" w:fill="FFFFFF"/>
        </w:rPr>
      </w:pPr>
      <w:r w:rsidRPr="00137593">
        <w:rPr>
          <w:rFonts w:ascii="Arial" w:hAnsi="Arial" w:cs="Arial"/>
          <w:color w:val="000000"/>
          <w:szCs w:val="21"/>
          <w:shd w:val="clear" w:color="auto" w:fill="FFFFFF"/>
        </w:rPr>
        <w:t>直接对样品整体做稳定性评估。</w:t>
      </w:r>
    </w:p>
    <w:p w:rsidR="00463448" w:rsidRDefault="00463448" w:rsidP="00463448">
      <w:pPr>
        <w:numPr>
          <w:ilvl w:val="0"/>
          <w:numId w:val="1"/>
        </w:numPr>
        <w:ind w:left="0" w:firstLine="0"/>
        <w:rPr>
          <w:rFonts w:ascii="Arial" w:hAnsi="Arial" w:cs="Arial" w:hint="eastAsia"/>
          <w:color w:val="000000"/>
          <w:szCs w:val="21"/>
          <w:shd w:val="clear" w:color="auto" w:fill="FFFFFF"/>
        </w:rPr>
      </w:pPr>
      <w:r w:rsidRPr="00137593">
        <w:rPr>
          <w:rFonts w:ascii="Arial" w:hAnsi="Arial" w:cs="Arial"/>
          <w:color w:val="000000"/>
          <w:szCs w:val="21"/>
          <w:shd w:val="clear" w:color="auto" w:fill="FFFFFF"/>
        </w:rPr>
        <w:t>可进行低浓度至高浓度的样品分析如悬浮液、乳化液、泥浆、沉淀物、凝胶等等。</w:t>
      </w:r>
      <w:r w:rsidRPr="00137593">
        <w:rPr>
          <w:rFonts w:ascii="Arial" w:hAnsi="Arial" w:cs="Arial"/>
          <w:color w:val="000000"/>
          <w:szCs w:val="21"/>
          <w:shd w:val="clear" w:color="auto" w:fill="FFFFFF"/>
        </w:rPr>
        <w:t> </w:t>
      </w:r>
      <w:r w:rsidRPr="00137593">
        <w:rPr>
          <w:rFonts w:ascii="Arial" w:hAnsi="Arial" w:cs="Arial"/>
          <w:color w:val="000000"/>
          <w:szCs w:val="21"/>
          <w:shd w:val="clear" w:color="auto" w:fill="FFFFFF"/>
        </w:rPr>
        <w:br/>
      </w:r>
      <w:r w:rsidRPr="00137593">
        <w:rPr>
          <w:rFonts w:ascii="Arial" w:hAnsi="Arial" w:cs="Arial"/>
          <w:color w:val="000000"/>
          <w:szCs w:val="21"/>
          <w:shd w:val="clear" w:color="auto" w:fill="FFFFFF"/>
        </w:rPr>
        <w:t>操作简便，不需稀释样品或对样品特别处理。</w:t>
      </w:r>
    </w:p>
    <w:p w:rsidR="00463448" w:rsidRDefault="00463448" w:rsidP="00463448">
      <w:pPr>
        <w:numPr>
          <w:ilvl w:val="0"/>
          <w:numId w:val="1"/>
        </w:numPr>
        <w:ind w:left="0" w:firstLine="0"/>
        <w:rPr>
          <w:rFonts w:ascii="Arial" w:hAnsi="Arial" w:cs="Arial" w:hint="eastAsia"/>
          <w:color w:val="000000"/>
          <w:szCs w:val="21"/>
          <w:shd w:val="clear" w:color="auto" w:fill="FFFFFF"/>
        </w:rPr>
      </w:pPr>
      <w:r w:rsidRPr="00137593">
        <w:rPr>
          <w:rFonts w:ascii="Arial" w:hAnsi="Arial" w:cs="Arial"/>
          <w:color w:val="000000"/>
          <w:szCs w:val="21"/>
          <w:shd w:val="clear" w:color="auto" w:fill="FFFFFF"/>
        </w:rPr>
        <w:t>快速的预测产品保质期且可缩短老化试验时间。</w:t>
      </w:r>
    </w:p>
    <w:p w:rsidR="00463448" w:rsidRDefault="00463448" w:rsidP="00463448">
      <w:pPr>
        <w:numPr>
          <w:ilvl w:val="0"/>
          <w:numId w:val="1"/>
        </w:numPr>
        <w:ind w:left="0" w:firstLine="0"/>
        <w:rPr>
          <w:rFonts w:ascii="Arial" w:hAnsi="Arial" w:cs="Arial" w:hint="eastAsia"/>
          <w:color w:val="000000"/>
          <w:szCs w:val="21"/>
          <w:shd w:val="clear" w:color="auto" w:fill="FFFFFF"/>
        </w:rPr>
      </w:pPr>
      <w:r w:rsidRPr="00137593">
        <w:rPr>
          <w:rFonts w:ascii="Arial" w:hAnsi="Arial" w:cs="Arial"/>
          <w:color w:val="000000"/>
          <w:szCs w:val="21"/>
          <w:shd w:val="clear" w:color="auto" w:fill="FFFFFF"/>
        </w:rPr>
        <w:t>适用于大范围粒子分类（粒径大小：</w:t>
      </w:r>
      <w:r w:rsidRPr="00137593">
        <w:rPr>
          <w:rFonts w:ascii="Arial" w:hAnsi="Arial" w:cs="Arial"/>
          <w:color w:val="000000"/>
          <w:szCs w:val="21"/>
          <w:shd w:val="clear" w:color="auto" w:fill="FFFFFF"/>
        </w:rPr>
        <w:t>20 nm-300 um</w:t>
      </w:r>
      <w:r w:rsidRPr="00137593">
        <w:rPr>
          <w:rFonts w:ascii="Arial" w:hAnsi="Arial" w:cs="Arial"/>
          <w:color w:val="000000"/>
          <w:szCs w:val="21"/>
          <w:shd w:val="clear" w:color="auto" w:fill="FFFFFF"/>
        </w:rPr>
        <w:t>，粘度范围最大为</w:t>
      </w:r>
      <w:r w:rsidRPr="00137593">
        <w:rPr>
          <w:rFonts w:ascii="Arial" w:hAnsi="Arial" w:cs="Arial"/>
          <w:color w:val="000000"/>
          <w:szCs w:val="21"/>
          <w:shd w:val="clear" w:color="auto" w:fill="FFFFFF"/>
        </w:rPr>
        <w:t xml:space="preserve"> 108mPas</w:t>
      </w:r>
      <w:r w:rsidRPr="00137593">
        <w:rPr>
          <w:rFonts w:ascii="Arial" w:hAnsi="Arial" w:cs="Arial"/>
          <w:color w:val="000000"/>
          <w:szCs w:val="21"/>
          <w:shd w:val="clear" w:color="auto" w:fill="FFFFFF"/>
        </w:rPr>
        <w:t>，体积浓度可高过</w:t>
      </w:r>
      <w:r w:rsidRPr="00137593">
        <w:rPr>
          <w:rFonts w:ascii="Arial" w:hAnsi="Arial" w:cs="Arial"/>
          <w:color w:val="000000"/>
          <w:szCs w:val="21"/>
          <w:shd w:val="clear" w:color="auto" w:fill="FFFFFF"/>
        </w:rPr>
        <w:t>90%</w:t>
      </w:r>
      <w:r w:rsidRPr="00137593">
        <w:rPr>
          <w:rFonts w:ascii="Arial" w:hAnsi="Arial" w:cs="Arial"/>
          <w:color w:val="000000"/>
          <w:szCs w:val="21"/>
          <w:shd w:val="clear" w:color="auto" w:fill="FFFFFF"/>
        </w:rPr>
        <w:t>）。</w:t>
      </w:r>
      <w:r w:rsidRPr="00137593">
        <w:rPr>
          <w:rFonts w:ascii="Arial" w:hAnsi="Arial" w:cs="Arial"/>
          <w:color w:val="000000"/>
          <w:szCs w:val="21"/>
          <w:shd w:val="clear" w:color="auto" w:fill="FFFFFF"/>
        </w:rPr>
        <w:t> </w:t>
      </w:r>
    </w:p>
    <w:p w:rsidR="00463448" w:rsidRDefault="00463448" w:rsidP="00463448">
      <w:pPr>
        <w:rPr>
          <w:b/>
          <w:sz w:val="28"/>
          <w:szCs w:val="28"/>
        </w:rPr>
      </w:pPr>
      <w:r>
        <w:rPr>
          <w:rFonts w:hint="eastAsia"/>
          <w:b/>
          <w:sz w:val="28"/>
          <w:szCs w:val="28"/>
        </w:rPr>
        <w:t>联系人：莫松平</w:t>
      </w:r>
    </w:p>
    <w:p w:rsidR="00463448" w:rsidRDefault="00463448" w:rsidP="00463448">
      <w:pPr>
        <w:rPr>
          <w:rFonts w:hint="eastAsia"/>
          <w:b/>
          <w:sz w:val="28"/>
          <w:szCs w:val="28"/>
        </w:rPr>
      </w:pPr>
      <w:r>
        <w:rPr>
          <w:rFonts w:hint="eastAsia"/>
          <w:b/>
          <w:sz w:val="28"/>
          <w:szCs w:val="28"/>
        </w:rPr>
        <w:t>1</w:t>
      </w:r>
      <w:r>
        <w:rPr>
          <w:b/>
          <w:sz w:val="28"/>
          <w:szCs w:val="28"/>
        </w:rPr>
        <w:t>8933958027</w:t>
      </w:r>
    </w:p>
    <w:p w:rsidR="000A1DA6" w:rsidRPr="00463448" w:rsidRDefault="000A1DA6" w:rsidP="00463448"/>
    <w:sectPr w:rsidR="000A1DA6" w:rsidRPr="004634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A3749"/>
    <w:multiLevelType w:val="hybridMultilevel"/>
    <w:tmpl w:val="607E23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1DA6"/>
    <w:rsid w:val="000A1DA6"/>
    <w:rsid w:val="00463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D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DA6"/>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0A1DA6"/>
    <w:rPr>
      <w:sz w:val="18"/>
      <w:szCs w:val="18"/>
    </w:rPr>
  </w:style>
  <w:style w:type="character" w:customStyle="1" w:styleId="Char">
    <w:name w:val="批注框文本 Char"/>
    <w:basedOn w:val="a0"/>
    <w:link w:val="a4"/>
    <w:uiPriority w:val="99"/>
    <w:semiHidden/>
    <w:rsid w:val="000A1DA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Company>China</Company>
  <LinksUpToDate>false</LinksUpToDate>
  <CharactersWithSpaces>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ꂘ࣑</dc:creator>
  <cp:lastModifiedBy>ꂘ࣑</cp:lastModifiedBy>
  <cp:revision>2</cp:revision>
  <dcterms:created xsi:type="dcterms:W3CDTF">2021-06-09T06:06:00Z</dcterms:created>
  <dcterms:modified xsi:type="dcterms:W3CDTF">2021-06-09T06:06:00Z</dcterms:modified>
</cp:coreProperties>
</file>